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AEBD49">
      <w:pPr>
        <w:keepNext w:val="0"/>
        <w:keepLines w:val="0"/>
        <w:widowControl/>
        <w:suppressLineNumbers w:val="0"/>
        <w:jc w:val="both"/>
        <w:rPr>
          <w:rFonts w:hint="default" w:ascii="黑体" w:hAnsi="黑体" w:eastAsia="黑体" w:cs="黑体"/>
          <w:color w:val="231F20"/>
          <w:kern w:val="0"/>
          <w:sz w:val="32"/>
          <w:szCs w:val="32"/>
          <w:lang w:val="en-US" w:eastAsia="zh-CN" w:bidi="ar"/>
        </w:rPr>
      </w:pPr>
      <w:r>
        <w:rPr>
          <w:rFonts w:hint="eastAsia" w:ascii="黑体" w:hAnsi="黑体" w:eastAsia="黑体" w:cs="黑体"/>
          <w:color w:val="231F20"/>
          <w:kern w:val="0"/>
          <w:sz w:val="32"/>
          <w:szCs w:val="32"/>
          <w:lang w:val="en-US" w:eastAsia="zh-CN" w:bidi="ar"/>
        </w:rPr>
        <w:t>附件1</w:t>
      </w:r>
    </w:p>
    <w:p w14:paraId="726DB9BB">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231F20"/>
          <w:kern w:val="0"/>
          <w:sz w:val="44"/>
          <w:szCs w:val="44"/>
          <w:lang w:val="en-US" w:eastAsia="zh-CN" w:bidi="ar"/>
        </w:rPr>
      </w:pPr>
      <w:r>
        <w:rPr>
          <w:rFonts w:hint="eastAsia" w:ascii="方正小标宋简体" w:hAnsi="方正小标宋简体" w:eastAsia="方正小标宋简体" w:cs="方正小标宋简体"/>
          <w:color w:val="231F20"/>
          <w:kern w:val="0"/>
          <w:sz w:val="44"/>
          <w:szCs w:val="44"/>
          <w:lang w:val="en-US" w:eastAsia="zh-CN" w:bidi="ar"/>
        </w:rPr>
        <w:t>2024年度资产评估行业执业质量</w:t>
      </w:r>
    </w:p>
    <w:p w14:paraId="4F8DFEC6">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231F20"/>
          <w:kern w:val="0"/>
          <w:sz w:val="44"/>
          <w:szCs w:val="44"/>
          <w:lang w:val="en-US" w:eastAsia="zh-CN" w:bidi="ar"/>
        </w:rPr>
        <w:t>联合检查工作方案</w:t>
      </w:r>
    </w:p>
    <w:p w14:paraId="24E07C2E">
      <w:pPr>
        <w:keepNext w:val="0"/>
        <w:keepLines w:val="0"/>
        <w:widowControl/>
        <w:suppressLineNumbers w:val="0"/>
        <w:jc w:val="left"/>
        <w:rPr>
          <w:rFonts w:ascii="仿宋_GB2312" w:hAnsi="仿宋_GB2312" w:eastAsia="仿宋_GB2312" w:cs="仿宋_GB2312"/>
          <w:color w:val="231F20"/>
          <w:kern w:val="0"/>
          <w:sz w:val="31"/>
          <w:szCs w:val="31"/>
          <w:lang w:val="en-US" w:eastAsia="zh-CN" w:bidi="ar"/>
        </w:rPr>
      </w:pPr>
    </w:p>
    <w:p w14:paraId="057FC01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sz w:val="32"/>
          <w:szCs w:val="32"/>
        </w:rPr>
      </w:pPr>
      <w:r>
        <w:rPr>
          <w:rFonts w:ascii="仿宋_GB2312" w:hAnsi="仿宋_GB2312" w:eastAsia="仿宋_GB2312" w:cs="仿宋_GB2312"/>
          <w:color w:val="231F20"/>
          <w:kern w:val="0"/>
          <w:sz w:val="32"/>
          <w:szCs w:val="32"/>
          <w:lang w:val="en-US" w:eastAsia="zh-CN" w:bidi="ar"/>
        </w:rPr>
        <w:t>为</w:t>
      </w:r>
      <w:r>
        <w:rPr>
          <w:rFonts w:hint="eastAsia" w:ascii="仿宋_GB2312" w:hAnsi="仿宋_GB2312" w:eastAsia="仿宋_GB2312" w:cs="仿宋_GB2312"/>
          <w:color w:val="231F20"/>
          <w:kern w:val="0"/>
          <w:sz w:val="32"/>
          <w:szCs w:val="32"/>
          <w:lang w:val="en-US" w:eastAsia="zh-CN" w:bidi="ar"/>
        </w:rPr>
        <w:t>深入</w:t>
      </w:r>
      <w:r>
        <w:rPr>
          <w:rFonts w:ascii="仿宋_GB2312" w:hAnsi="仿宋_GB2312" w:eastAsia="仿宋_GB2312" w:cs="仿宋_GB2312"/>
          <w:color w:val="231F20"/>
          <w:kern w:val="0"/>
          <w:sz w:val="32"/>
          <w:szCs w:val="32"/>
          <w:lang w:val="en-US" w:eastAsia="zh-CN" w:bidi="ar"/>
        </w:rPr>
        <w:t>贯彻落实</w:t>
      </w:r>
      <w:r>
        <w:rPr>
          <w:rFonts w:hint="eastAsia" w:ascii="仿宋_GB2312" w:hAnsi="仿宋_GB2312" w:eastAsia="仿宋_GB2312" w:cs="仿宋_GB2312"/>
          <w:color w:val="231F20"/>
          <w:kern w:val="0"/>
          <w:sz w:val="32"/>
          <w:szCs w:val="32"/>
          <w:lang w:val="en-US" w:eastAsia="zh-CN" w:bidi="ar"/>
        </w:rPr>
        <w:t>中共</w:t>
      </w:r>
      <w:r>
        <w:rPr>
          <w:rFonts w:ascii="仿宋_GB2312" w:hAnsi="仿宋_GB2312" w:eastAsia="仿宋_GB2312" w:cs="仿宋_GB2312"/>
          <w:color w:val="231F20"/>
          <w:kern w:val="0"/>
          <w:sz w:val="32"/>
          <w:szCs w:val="32"/>
          <w:lang w:val="en-US" w:eastAsia="zh-CN" w:bidi="ar"/>
        </w:rPr>
        <w:t>中央办公厅</w:t>
      </w:r>
      <w:r>
        <w:rPr>
          <w:rFonts w:hint="eastAsia" w:ascii="仿宋_GB2312" w:hAnsi="仿宋_GB2312" w:eastAsia="仿宋_GB2312" w:cs="仿宋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国务院办公厅</w:t>
      </w:r>
      <w:r>
        <w:rPr>
          <w:rFonts w:hint="eastAsia" w:ascii="仿宋_GB2312" w:hAnsi="仿宋_GB2312" w:eastAsia="仿宋_GB2312" w:cs="仿宋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关于进一步加强财会监督工作的意见</w:t>
      </w:r>
      <w:r>
        <w:rPr>
          <w:rFonts w:hint="eastAsia" w:ascii="仿宋_GB2312" w:hAnsi="仿宋_GB2312" w:eastAsia="仿宋_GB2312" w:cs="仿宋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精神，切实履行资产评估行业监督管理职责，提升资产评估机构执业质量，充分发挥行政监管和行业自律监管有机结合的效能，按照《中华人民共和国资产评估法》《资产评估行业财政监督管理办法》（财政部令第97号）</w:t>
      </w:r>
      <w:r>
        <w:rPr>
          <w:rFonts w:hint="eastAsia" w:ascii="仿宋_GB2312" w:hAnsi="仿宋_GB2312" w:eastAsia="仿宋_GB2312" w:cs="仿宋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《财政部关于组织地方财政部门开展202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年度会计和评估监督检查工作的通知》(财监〔202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w:t>
      </w:r>
      <w:r>
        <w:rPr>
          <w:rFonts w:hint="eastAsia" w:ascii="仿宋_GB2312" w:hAnsi="仿宋_GB2312" w:eastAsia="仿宋_GB2312" w:cs="仿宋_GB2312"/>
          <w:color w:val="231F20"/>
          <w:kern w:val="0"/>
          <w:sz w:val="32"/>
          <w:szCs w:val="32"/>
          <w:lang w:val="en-US" w:eastAsia="zh-CN" w:bidi="ar"/>
        </w:rPr>
        <w:t>10</w:t>
      </w:r>
      <w:r>
        <w:rPr>
          <w:rFonts w:ascii="仿宋_GB2312" w:hAnsi="仿宋_GB2312" w:eastAsia="仿宋_GB2312" w:cs="仿宋_GB2312"/>
          <w:color w:val="231F20"/>
          <w:kern w:val="0"/>
          <w:sz w:val="32"/>
          <w:szCs w:val="32"/>
          <w:lang w:val="en-US" w:eastAsia="zh-CN" w:bidi="ar"/>
        </w:rPr>
        <w:t>号）</w:t>
      </w:r>
      <w:r>
        <w:rPr>
          <w:rFonts w:hint="eastAsia" w:ascii="仿宋_GB2312" w:hAnsi="仿宋_GB2312" w:eastAsia="仿宋_GB2312" w:cs="仿宋_GB2312"/>
          <w:color w:val="231F20"/>
          <w:kern w:val="0"/>
          <w:sz w:val="32"/>
          <w:szCs w:val="32"/>
          <w:lang w:val="en-US" w:eastAsia="zh-CN" w:bidi="ar"/>
        </w:rPr>
        <w:t>和《山西省财政厅关于开展2024年度会计师事务所和资产评估机构监督检查工作的通知》（晋财会</w:t>
      </w:r>
      <w:r>
        <w:rPr>
          <w:rFonts w:ascii="仿宋_GB2312" w:hAnsi="仿宋_GB2312" w:eastAsia="仿宋_GB2312" w:cs="仿宋_GB2312"/>
          <w:color w:val="231F20"/>
          <w:kern w:val="0"/>
          <w:sz w:val="32"/>
          <w:szCs w:val="32"/>
          <w:lang w:val="en-US" w:eastAsia="zh-CN" w:bidi="ar"/>
        </w:rPr>
        <w:t>〔202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w:t>
      </w:r>
      <w:r>
        <w:rPr>
          <w:rFonts w:hint="eastAsia" w:ascii="仿宋_GB2312" w:hAnsi="仿宋_GB2312" w:eastAsia="仿宋_GB2312" w:cs="仿宋_GB2312"/>
          <w:color w:val="231F20"/>
          <w:kern w:val="0"/>
          <w:sz w:val="32"/>
          <w:szCs w:val="32"/>
          <w:lang w:val="en-US" w:eastAsia="zh-CN" w:bidi="ar"/>
        </w:rPr>
        <w:t>19</w:t>
      </w:r>
      <w:r>
        <w:rPr>
          <w:rFonts w:ascii="仿宋_GB2312" w:hAnsi="仿宋_GB2312" w:eastAsia="仿宋_GB2312" w:cs="仿宋_GB2312"/>
          <w:color w:val="231F20"/>
          <w:kern w:val="0"/>
          <w:sz w:val="32"/>
          <w:szCs w:val="32"/>
          <w:highlight w:val="none"/>
          <w:lang w:val="en-US" w:eastAsia="zh-CN" w:bidi="ar"/>
        </w:rPr>
        <w:t>号</w:t>
      </w:r>
      <w:r>
        <w:rPr>
          <w:rFonts w:ascii="仿宋_GB2312" w:hAnsi="仿宋_GB2312" w:eastAsia="仿宋_GB2312" w:cs="仿宋_GB2312"/>
          <w:color w:val="231F20"/>
          <w:kern w:val="0"/>
          <w:sz w:val="32"/>
          <w:szCs w:val="32"/>
          <w:lang w:val="en-US" w:eastAsia="zh-CN" w:bidi="ar"/>
        </w:rPr>
        <w:t>）等要求，扎实做好202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年度资产评估</w:t>
      </w:r>
      <w:r>
        <w:rPr>
          <w:rFonts w:hint="eastAsia" w:ascii="仿宋_GB2312" w:hAnsi="仿宋_GB2312" w:eastAsia="仿宋_GB2312" w:cs="仿宋_GB2312"/>
          <w:color w:val="231F20"/>
          <w:kern w:val="0"/>
          <w:sz w:val="32"/>
          <w:szCs w:val="32"/>
          <w:lang w:val="en-US" w:eastAsia="zh-CN" w:bidi="ar"/>
        </w:rPr>
        <w:t>行业</w:t>
      </w:r>
      <w:r>
        <w:rPr>
          <w:rFonts w:ascii="仿宋_GB2312" w:hAnsi="仿宋_GB2312" w:eastAsia="仿宋_GB2312" w:cs="仿宋_GB2312"/>
          <w:color w:val="231F20"/>
          <w:kern w:val="0"/>
          <w:sz w:val="32"/>
          <w:szCs w:val="32"/>
          <w:lang w:val="en-US" w:eastAsia="zh-CN" w:bidi="ar"/>
        </w:rPr>
        <w:t>执业质量</w:t>
      </w:r>
      <w:r>
        <w:rPr>
          <w:rFonts w:hint="eastAsia" w:ascii="仿宋_GB2312" w:hAnsi="仿宋_GB2312" w:eastAsia="仿宋_GB2312" w:cs="仿宋_GB2312"/>
          <w:color w:val="231F20"/>
          <w:kern w:val="0"/>
          <w:sz w:val="32"/>
          <w:szCs w:val="32"/>
          <w:lang w:val="en-US" w:eastAsia="zh-CN" w:bidi="ar"/>
        </w:rPr>
        <w:t>联合</w:t>
      </w:r>
      <w:r>
        <w:rPr>
          <w:rFonts w:ascii="仿宋_GB2312" w:hAnsi="仿宋_GB2312" w:eastAsia="仿宋_GB2312" w:cs="仿宋_GB2312"/>
          <w:color w:val="231F20"/>
          <w:kern w:val="0"/>
          <w:sz w:val="32"/>
          <w:szCs w:val="32"/>
          <w:lang w:val="en-US" w:eastAsia="zh-CN" w:bidi="ar"/>
        </w:rPr>
        <w:t xml:space="preserve">检查工作，制定本方案。 </w:t>
      </w:r>
    </w:p>
    <w:p w14:paraId="16EAED4A">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hint="eastAsia" w:ascii="黑体" w:hAnsi="黑体" w:eastAsia="黑体" w:cs="黑体"/>
          <w:color w:val="231F20"/>
          <w:kern w:val="0"/>
          <w:sz w:val="32"/>
          <w:szCs w:val="32"/>
          <w:lang w:val="en-US" w:eastAsia="zh-CN" w:bidi="ar"/>
        </w:rPr>
        <w:t>一、指导思想</w:t>
      </w:r>
      <w:r>
        <w:rPr>
          <w:rFonts w:hint="default" w:ascii="FZHTJW--GB1-0" w:hAnsi="FZHTJW--GB1-0" w:eastAsia="FZHTJW--GB1-0" w:cs="FZHTJW--GB1-0"/>
          <w:color w:val="231F20"/>
          <w:kern w:val="0"/>
          <w:sz w:val="32"/>
          <w:szCs w:val="32"/>
          <w:lang w:val="en-US" w:eastAsia="zh-CN" w:bidi="ar"/>
        </w:rPr>
        <w:t xml:space="preserve"> </w:t>
      </w:r>
    </w:p>
    <w:p w14:paraId="68191351">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以习近平新时代中国特色社会主义思想、党和国家监督体系重要指示精神为指导，围绕加强财会监督工作，加强和规范事中事后监管，督促资产评估机构完善内部控制制度、建立风险防控机制、提高职业道德水平和执业质量，加强行业诚信建设，提升监督工作成效，推动行业高质量发展，更好地发挥资产评估行业在经济发展中的作用。 </w:t>
      </w:r>
    </w:p>
    <w:p w14:paraId="2504F65B">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hint="eastAsia" w:ascii="黑体" w:hAnsi="黑体" w:eastAsia="黑体" w:cs="黑体"/>
          <w:color w:val="231F20"/>
          <w:kern w:val="0"/>
          <w:sz w:val="32"/>
          <w:szCs w:val="32"/>
          <w:lang w:val="en-US" w:eastAsia="zh-CN" w:bidi="ar"/>
        </w:rPr>
        <w:t>二、组织领导</w:t>
      </w:r>
      <w:r>
        <w:rPr>
          <w:rFonts w:hint="default" w:ascii="FZHTJW--GB1-0" w:hAnsi="FZHTJW--GB1-0" w:eastAsia="FZHTJW--GB1-0" w:cs="FZHTJW--GB1-0"/>
          <w:color w:val="231F20"/>
          <w:kern w:val="0"/>
          <w:sz w:val="32"/>
          <w:szCs w:val="32"/>
          <w:lang w:val="en-US" w:eastAsia="zh-CN" w:bidi="ar"/>
        </w:rPr>
        <w:t xml:space="preserve"> </w:t>
      </w:r>
    </w:p>
    <w:p w14:paraId="1323EE61">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仿宋_GB2312" w:hAnsi="仿宋_GB2312" w:eastAsia="仿宋_GB2312" w:cs="仿宋_GB2312"/>
          <w:color w:val="231F20"/>
          <w:kern w:val="0"/>
          <w:sz w:val="32"/>
          <w:szCs w:val="32"/>
          <w:lang w:val="en-US" w:eastAsia="zh-CN" w:bidi="ar"/>
        </w:rPr>
        <w:t>为保证202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 xml:space="preserve">年度资产评估机构检查工作顺利完成，按照《加强资产评估行业联合监管若干措施》（财办监〔2021〕7号）精神，省财政厅联合省评协成立检查领导组、检查工作组和检查督导组。 </w:t>
      </w:r>
    </w:p>
    <w:p w14:paraId="57E22A8B">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 xml:space="preserve">（一）检查领导组 </w:t>
      </w:r>
    </w:p>
    <w:p w14:paraId="0D96EAD3">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组长：成怀平 </w:t>
      </w:r>
    </w:p>
    <w:p w14:paraId="723B29B0">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sz w:val="32"/>
          <w:szCs w:val="32"/>
        </w:rPr>
      </w:pPr>
      <w:r>
        <w:rPr>
          <w:rFonts w:ascii="仿宋_GB2312" w:hAnsi="仿宋_GB2312" w:eastAsia="仿宋_GB2312" w:cs="仿宋_GB2312"/>
          <w:color w:val="231F20"/>
          <w:kern w:val="0"/>
          <w:sz w:val="32"/>
          <w:szCs w:val="32"/>
          <w:lang w:val="en-US" w:eastAsia="zh-CN" w:bidi="ar"/>
        </w:rPr>
        <w:t>副组长：张志祥、张云廷、李志明、</w:t>
      </w:r>
      <w:r>
        <w:rPr>
          <w:rFonts w:hint="eastAsia" w:ascii="仿宋_GB2312" w:hAnsi="仿宋_GB2312" w:eastAsia="仿宋_GB2312" w:cs="仿宋_GB2312"/>
          <w:color w:val="231F20"/>
          <w:kern w:val="0"/>
          <w:sz w:val="32"/>
          <w:szCs w:val="32"/>
          <w:lang w:val="en-US" w:eastAsia="zh-CN" w:bidi="ar"/>
        </w:rPr>
        <w:t>秦利荣</w:t>
      </w:r>
      <w:r>
        <w:rPr>
          <w:rFonts w:ascii="仿宋_GB2312" w:hAnsi="仿宋_GB2312" w:eastAsia="仿宋_GB2312" w:cs="仿宋_GB2312"/>
          <w:color w:val="231F20"/>
          <w:kern w:val="0"/>
          <w:sz w:val="32"/>
          <w:szCs w:val="32"/>
          <w:lang w:val="en-US" w:eastAsia="zh-CN" w:bidi="ar"/>
        </w:rPr>
        <w:t xml:space="preserve">。 </w:t>
      </w:r>
    </w:p>
    <w:p w14:paraId="0FBD1959">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成员：省财政厅会计处、省资产评估协会有关工作人员。 </w:t>
      </w:r>
    </w:p>
    <w:p w14:paraId="415A166C">
      <w:pPr>
        <w:keepNext w:val="0"/>
        <w:keepLines w:val="0"/>
        <w:pageBreakBefore w:val="0"/>
        <w:widowControl w:val="0"/>
        <w:suppressLineNumbers w:val="0"/>
        <w:kinsoku/>
        <w:wordWrap/>
        <w:overflowPunct/>
        <w:topLinePunct w:val="0"/>
        <w:autoSpaceDE/>
        <w:autoSpaceDN/>
        <w:bidi w:val="0"/>
        <w:adjustRightInd/>
        <w:snapToGrid/>
        <w:spacing w:line="600" w:lineRule="exact"/>
        <w:ind w:firstLine="640" w:firstLineChars="200"/>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领导组职责：负责安排、组织、协调、指导本次联合检查的各项工作。 </w:t>
      </w:r>
    </w:p>
    <w:p w14:paraId="6253F156">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 xml:space="preserve">（二）检查工作组 </w:t>
      </w:r>
    </w:p>
    <w:p w14:paraId="0DB1655D">
      <w:pPr>
        <w:keepNext w:val="0"/>
        <w:keepLines w:val="0"/>
        <w:pageBreakBefore w:val="0"/>
        <w:widowControl w:val="0"/>
        <w:suppressLineNumbers w:val="0"/>
        <w:kinsoku/>
        <w:wordWrap/>
        <w:overflowPunct/>
        <w:topLinePunct w:val="0"/>
        <w:autoSpaceDE/>
        <w:autoSpaceDN/>
        <w:bidi w:val="0"/>
        <w:adjustRightInd/>
        <w:snapToGrid/>
        <w:spacing w:line="600" w:lineRule="exact"/>
        <w:ind w:left="13" w:leftChars="6" w:firstLine="944" w:firstLineChars="295"/>
        <w:jc w:val="left"/>
        <w:textAlignment w:val="auto"/>
        <w:rPr>
          <w:sz w:val="32"/>
          <w:szCs w:val="32"/>
        </w:rPr>
      </w:pPr>
      <w:r>
        <w:rPr>
          <w:rFonts w:ascii="仿宋_GB2312" w:hAnsi="仿宋_GB2312" w:eastAsia="仿宋_GB2312" w:cs="仿宋_GB2312"/>
          <w:color w:val="231F20"/>
          <w:kern w:val="0"/>
          <w:sz w:val="32"/>
          <w:szCs w:val="32"/>
          <w:lang w:val="en-US" w:eastAsia="zh-CN" w:bidi="ar"/>
        </w:rPr>
        <w:t>具有</w:t>
      </w:r>
      <w:r>
        <w:rPr>
          <w:rFonts w:ascii="仿宋_GB2312" w:hAnsi="仿宋_GB2312" w:eastAsia="仿宋_GB2312" w:cs="仿宋_GB2312"/>
          <w:color w:val="231F20"/>
          <w:kern w:val="0"/>
          <w:sz w:val="32"/>
          <w:szCs w:val="32"/>
          <w:highlight w:val="none"/>
          <w:lang w:val="en-US" w:eastAsia="zh-CN" w:bidi="ar"/>
        </w:rPr>
        <w:t>行政执法</w:t>
      </w:r>
      <w:r>
        <w:rPr>
          <w:rFonts w:ascii="仿宋_GB2312" w:hAnsi="仿宋_GB2312" w:eastAsia="仿宋_GB2312" w:cs="仿宋_GB2312"/>
          <w:color w:val="231F20"/>
          <w:kern w:val="0"/>
          <w:sz w:val="32"/>
          <w:szCs w:val="32"/>
          <w:lang w:val="en-US" w:eastAsia="zh-CN" w:bidi="ar"/>
        </w:rPr>
        <w:t>资格的工作人员和具有</w:t>
      </w:r>
      <w:r>
        <w:rPr>
          <w:rFonts w:hint="eastAsia" w:ascii="仿宋_GB2312" w:hAnsi="仿宋_GB2312" w:eastAsia="仿宋_GB2312" w:cs="仿宋_GB2312"/>
          <w:color w:val="231F20"/>
          <w:kern w:val="0"/>
          <w:sz w:val="32"/>
          <w:szCs w:val="32"/>
          <w:lang w:val="en-US" w:eastAsia="zh-CN" w:bidi="ar"/>
        </w:rPr>
        <w:t>一定胜任能力的资产评估</w:t>
      </w:r>
      <w:bookmarkStart w:id="1" w:name="_GoBack"/>
      <w:bookmarkEnd w:id="1"/>
      <w:r>
        <w:rPr>
          <w:rFonts w:ascii="仿宋_GB2312" w:hAnsi="仿宋_GB2312" w:eastAsia="仿宋_GB2312" w:cs="仿宋_GB2312"/>
          <w:color w:val="231F20"/>
          <w:kern w:val="0"/>
          <w:sz w:val="32"/>
          <w:szCs w:val="32"/>
          <w:lang w:val="en-US" w:eastAsia="zh-CN" w:bidi="ar"/>
        </w:rPr>
        <w:t xml:space="preserve">专业人员组成。工作组职责：开展现场检查，落实检查各项工作任务。 </w:t>
      </w:r>
    </w:p>
    <w:p w14:paraId="064DA688">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 xml:space="preserve">（三）检查督导组 </w:t>
      </w:r>
    </w:p>
    <w:p w14:paraId="5A19C6A8">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具有资深资产评估经验的行业专家和行业领军人才组成。 </w:t>
      </w:r>
    </w:p>
    <w:p w14:paraId="10426DEE">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sz w:val="32"/>
          <w:szCs w:val="32"/>
        </w:rPr>
      </w:pPr>
      <w:r>
        <w:rPr>
          <w:rFonts w:ascii="仿宋_GB2312" w:hAnsi="仿宋_GB2312" w:eastAsia="仿宋_GB2312" w:cs="仿宋_GB2312"/>
          <w:color w:val="231F20"/>
          <w:kern w:val="0"/>
          <w:sz w:val="32"/>
          <w:szCs w:val="32"/>
          <w:lang w:val="en-US" w:eastAsia="zh-CN" w:bidi="ar"/>
        </w:rPr>
        <w:t xml:space="preserve">督导组职责：对检查工作不定期进行抽查，督促指导现场检查工作。 </w:t>
      </w:r>
    </w:p>
    <w:p w14:paraId="50D3C05A">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rFonts w:hint="eastAsia" w:ascii="黑体" w:hAnsi="黑体" w:eastAsia="黑体" w:cs="黑体"/>
          <w:sz w:val="32"/>
          <w:szCs w:val="32"/>
        </w:rPr>
      </w:pPr>
      <w:r>
        <w:rPr>
          <w:rFonts w:hint="eastAsia" w:ascii="黑体" w:hAnsi="黑体" w:eastAsia="黑体" w:cs="黑体"/>
          <w:color w:val="231F20"/>
          <w:kern w:val="0"/>
          <w:sz w:val="32"/>
          <w:szCs w:val="32"/>
          <w:lang w:val="en-US" w:eastAsia="zh-CN" w:bidi="ar"/>
        </w:rPr>
        <w:t xml:space="preserve">三、检查对象 </w:t>
      </w:r>
    </w:p>
    <w:p w14:paraId="5000153F">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仿宋_GB2312" w:hAnsi="仿宋_GB2312" w:eastAsia="仿宋_GB2312" w:cs="仿宋_GB2312"/>
          <w:color w:val="231F20"/>
          <w:kern w:val="0"/>
          <w:sz w:val="32"/>
          <w:szCs w:val="32"/>
          <w:lang w:val="en-US" w:eastAsia="zh-CN" w:bidi="ar"/>
        </w:rPr>
        <w:t>按照</w:t>
      </w:r>
      <w:r>
        <w:rPr>
          <w:rFonts w:hint="eastAsia" w:ascii="仿宋_GB2312" w:hAnsi="仿宋_GB2312" w:eastAsia="仿宋_GB2312" w:cs="仿宋_GB2312"/>
          <w:color w:val="231F20"/>
          <w:kern w:val="0"/>
          <w:sz w:val="32"/>
          <w:szCs w:val="32"/>
          <w:lang w:val="en-US" w:eastAsia="zh-CN" w:bidi="ar"/>
        </w:rPr>
        <w:t>“五年查一轮”</w:t>
      </w:r>
      <w:r>
        <w:rPr>
          <w:rFonts w:ascii="仿宋_GB2312" w:hAnsi="仿宋_GB2312" w:eastAsia="仿宋_GB2312" w:cs="仿宋_GB2312"/>
          <w:color w:val="231F20"/>
          <w:kern w:val="0"/>
          <w:sz w:val="32"/>
          <w:szCs w:val="32"/>
          <w:lang w:val="en-US" w:eastAsia="zh-CN" w:bidi="ar"/>
        </w:rPr>
        <w:t>与重点检查相结合的方式，</w:t>
      </w:r>
      <w:r>
        <w:rPr>
          <w:rFonts w:hint="eastAsia" w:ascii="仿宋_GB2312" w:hAnsi="仿宋_GB2312" w:eastAsia="仿宋_GB2312" w:cs="仿宋_GB2312"/>
          <w:color w:val="231F20"/>
          <w:kern w:val="0"/>
          <w:sz w:val="32"/>
          <w:szCs w:val="32"/>
          <w:lang w:val="en-US" w:eastAsia="zh-CN" w:bidi="ar"/>
        </w:rPr>
        <w:t>结合新备案评估机构，</w:t>
      </w:r>
      <w:r>
        <w:rPr>
          <w:rFonts w:hint="eastAsia" w:ascii="仿宋" w:hAnsi="仿宋" w:eastAsia="仿宋" w:cs="仿宋"/>
          <w:sz w:val="32"/>
          <w:szCs w:val="32"/>
          <w:highlight w:val="none"/>
          <w:shd w:val="clear" w:color="auto" w:fill="auto"/>
          <w:lang w:val="en-US" w:eastAsia="zh-CN"/>
        </w:rPr>
        <w:t>通过</w:t>
      </w:r>
      <w:r>
        <w:rPr>
          <w:rFonts w:hint="eastAsia" w:ascii="仿宋" w:hAnsi="仿宋" w:eastAsia="仿宋" w:cs="仿宋"/>
          <w:sz w:val="32"/>
          <w:szCs w:val="32"/>
          <w:highlight w:val="none"/>
          <w:shd w:val="clear" w:color="auto" w:fill="auto"/>
        </w:rPr>
        <w:t>投诉举报、信息技术手段、日常监管以及其他途径发现问题线索</w:t>
      </w:r>
      <w:r>
        <w:rPr>
          <w:rFonts w:ascii="仿宋_GB2312" w:hAnsi="仿宋_GB2312" w:eastAsia="仿宋_GB2312" w:cs="仿宋_GB2312"/>
          <w:color w:val="231F20"/>
          <w:kern w:val="0"/>
          <w:sz w:val="32"/>
          <w:szCs w:val="32"/>
          <w:highlight w:val="none"/>
          <w:shd w:val="clear" w:color="auto" w:fill="auto"/>
          <w:lang w:val="en-US" w:eastAsia="zh-CN" w:bidi="ar"/>
        </w:rPr>
        <w:t>的评估机构确定为本年度执业质量检查对象。</w:t>
      </w:r>
      <w:r>
        <w:rPr>
          <w:rFonts w:ascii="仿宋_GB2312" w:hAnsi="仿宋_GB2312" w:eastAsia="仿宋_GB2312" w:cs="仿宋_GB2312"/>
          <w:color w:val="231F20"/>
          <w:kern w:val="0"/>
          <w:sz w:val="32"/>
          <w:szCs w:val="32"/>
          <w:lang w:val="en-US" w:eastAsia="zh-CN" w:bidi="ar"/>
        </w:rPr>
        <w:t>确定</w:t>
      </w:r>
      <w:r>
        <w:rPr>
          <w:rFonts w:hint="eastAsia" w:ascii="仿宋_GB2312" w:hAnsi="仿宋_GB2312" w:eastAsia="仿宋_GB2312" w:cs="仿宋_GB2312"/>
          <w:color w:val="231F20"/>
          <w:kern w:val="0"/>
          <w:sz w:val="32"/>
          <w:szCs w:val="32"/>
          <w:lang w:val="en-US" w:eastAsia="zh-CN" w:bidi="ar"/>
        </w:rPr>
        <w:t>5</w:t>
      </w:r>
      <w:r>
        <w:rPr>
          <w:rFonts w:ascii="仿宋_GB2312" w:hAnsi="仿宋_GB2312" w:eastAsia="仿宋_GB2312" w:cs="仿宋_GB2312"/>
          <w:color w:val="231F20"/>
          <w:kern w:val="0"/>
          <w:sz w:val="32"/>
          <w:szCs w:val="32"/>
          <w:lang w:val="en-US" w:eastAsia="zh-CN" w:bidi="ar"/>
        </w:rPr>
        <w:t xml:space="preserve">3家资产评估机构作为检查对象（名单附后）。 </w:t>
      </w:r>
    </w:p>
    <w:p w14:paraId="2C695905">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hint="eastAsia" w:ascii="黑体" w:hAnsi="黑体" w:eastAsia="黑体" w:cs="黑体"/>
          <w:color w:val="231F20"/>
          <w:kern w:val="0"/>
          <w:sz w:val="32"/>
          <w:szCs w:val="32"/>
          <w:lang w:val="en-US" w:eastAsia="zh-CN" w:bidi="ar"/>
        </w:rPr>
        <w:t>四、检查内容</w:t>
      </w:r>
      <w:r>
        <w:rPr>
          <w:rFonts w:hint="default" w:ascii="FZHTJW--GB1-0" w:hAnsi="FZHTJW--GB1-0" w:eastAsia="FZHTJW--GB1-0" w:cs="FZHTJW--GB1-0"/>
          <w:color w:val="231F20"/>
          <w:kern w:val="0"/>
          <w:sz w:val="32"/>
          <w:szCs w:val="32"/>
          <w:lang w:val="en-US" w:eastAsia="zh-CN" w:bidi="ar"/>
        </w:rPr>
        <w:t xml:space="preserve"> </w:t>
      </w:r>
    </w:p>
    <w:p w14:paraId="50DFAC1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ascii="楷体_GB2312" w:hAnsi="楷体_GB2312" w:eastAsia="楷体_GB2312" w:cs="楷体_GB2312"/>
          <w:color w:val="231F20"/>
          <w:kern w:val="0"/>
          <w:sz w:val="32"/>
          <w:szCs w:val="32"/>
          <w:lang w:val="en-US" w:eastAsia="zh-CN" w:bidi="ar"/>
        </w:rPr>
        <w:t>（一）检查内容。</w:t>
      </w:r>
      <w:r>
        <w:rPr>
          <w:rFonts w:hint="eastAsia" w:ascii="仿宋" w:hAnsi="仿宋" w:eastAsia="仿宋" w:cs="仿宋"/>
          <w:sz w:val="32"/>
          <w:szCs w:val="32"/>
        </w:rPr>
        <w:t>主要是资产评估机构内部治理、专业胜任能力、风险防范机制、质量控制体系及业务质量检查。突出重点，聚焦问题，注重实效，重点关注以下问题：</w:t>
      </w:r>
    </w:p>
    <w:p w14:paraId="56FB7B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机构内部治理。检查评估机构是否持续满足《中华人民共和国资产评估法》及《资产评估行业财政监督管理办法》规定的设立条件；资产评估机构是否按照规定进行备案；合伙人或股东任职资格合规情况；是否存在兼职、挂名执业的资产评估师的情况</w:t>
      </w:r>
      <w:bookmarkStart w:id="0" w:name="_Hlk69995152"/>
      <w:r>
        <w:rPr>
          <w:rFonts w:hint="eastAsia" w:ascii="仿宋" w:hAnsi="仿宋" w:eastAsia="仿宋" w:cs="仿宋"/>
          <w:sz w:val="32"/>
          <w:szCs w:val="32"/>
        </w:rPr>
        <w:t>、内部管理制度建立及执行情况</w:t>
      </w:r>
      <w:bookmarkEnd w:id="0"/>
      <w:r>
        <w:rPr>
          <w:rFonts w:hint="eastAsia" w:ascii="仿宋" w:hAnsi="仿宋" w:eastAsia="仿宋" w:cs="仿宋"/>
          <w:sz w:val="32"/>
          <w:szCs w:val="32"/>
        </w:rPr>
        <w:t>等。</w:t>
      </w:r>
    </w:p>
    <w:p w14:paraId="2BD3B5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专业胜任能力。重点关注已备案评估机构是否具备从事</w:t>
      </w:r>
      <w:r>
        <w:rPr>
          <w:rFonts w:hint="eastAsia" w:ascii="仿宋" w:hAnsi="仿宋" w:eastAsia="仿宋" w:cs="仿宋"/>
          <w:sz w:val="32"/>
          <w:szCs w:val="32"/>
          <w:lang w:val="en-US" w:eastAsia="zh-CN"/>
        </w:rPr>
        <w:t>资产</w:t>
      </w:r>
      <w:r>
        <w:rPr>
          <w:rFonts w:hint="eastAsia" w:ascii="仿宋" w:hAnsi="仿宋" w:eastAsia="仿宋" w:cs="仿宋"/>
          <w:sz w:val="32"/>
          <w:szCs w:val="32"/>
        </w:rPr>
        <w:t>评估业务所必须具备的专业知识，以及由此导致的胜任能力不足和执业质量问题。</w:t>
      </w:r>
    </w:p>
    <w:p w14:paraId="32BEBA1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风险防范机制。重点关注评估机构是否建立风险防控制度；是否足额计提职业风险基金或购买职业保险。</w:t>
      </w:r>
    </w:p>
    <w:p w14:paraId="1A0E843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质量控制体系。检查是否按照规定建立质量控制体系，重点关注质控岗位设置、业务承接、项目执行、报告审核、报告出具、档案管理等实施情况，是否存在低价项目影响评估质量的问题等。</w:t>
      </w:r>
    </w:p>
    <w:p w14:paraId="1DB217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业务质量检查。重点关注涉及</w:t>
      </w:r>
      <w:r>
        <w:rPr>
          <w:rFonts w:hint="eastAsia" w:ascii="仿宋" w:hAnsi="仿宋" w:eastAsia="仿宋" w:cs="仿宋"/>
          <w:sz w:val="32"/>
          <w:szCs w:val="32"/>
          <w:lang w:val="en-US" w:eastAsia="zh-CN"/>
        </w:rPr>
        <w:t>国有资产</w:t>
      </w:r>
      <w:r>
        <w:rPr>
          <w:rFonts w:hint="eastAsia" w:ascii="仿宋" w:hAnsi="仿宋" w:eastAsia="仿宋" w:cs="仿宋"/>
          <w:sz w:val="32"/>
          <w:szCs w:val="32"/>
        </w:rPr>
        <w:t>的评估业务、金融评估业务等。检查业务执行过程中是否贯彻风险识别理念，是否执行评估准则、履行评估程序、落实评估报告编码的要求等。</w:t>
      </w:r>
    </w:p>
    <w:p w14:paraId="039E8B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color w:val="231F20"/>
          <w:kern w:val="0"/>
          <w:sz w:val="32"/>
          <w:szCs w:val="32"/>
          <w:lang w:val="en-US" w:eastAsia="zh-CN" w:bidi="ar"/>
        </w:rPr>
      </w:pPr>
      <w:r>
        <w:rPr>
          <w:rFonts w:hint="eastAsia" w:ascii="楷体_GB2312" w:hAnsi="楷体_GB2312" w:eastAsia="楷体_GB2312" w:cs="楷体_GB2312"/>
          <w:color w:val="231F20"/>
          <w:kern w:val="0"/>
          <w:sz w:val="32"/>
          <w:szCs w:val="32"/>
          <w:lang w:val="en-US" w:eastAsia="zh-CN" w:bidi="ar"/>
        </w:rPr>
        <w:t>（二）</w:t>
      </w:r>
      <w:r>
        <w:rPr>
          <w:rFonts w:ascii="楷体_GB2312" w:hAnsi="楷体_GB2312" w:eastAsia="楷体_GB2312" w:cs="楷体_GB2312"/>
          <w:color w:val="231F20"/>
          <w:kern w:val="0"/>
          <w:sz w:val="32"/>
          <w:szCs w:val="32"/>
          <w:lang w:val="en-US" w:eastAsia="zh-CN" w:bidi="ar"/>
        </w:rPr>
        <w:t>检查重点。</w:t>
      </w:r>
      <w:r>
        <w:rPr>
          <w:rFonts w:ascii="仿宋_GB2312" w:hAnsi="仿宋_GB2312" w:eastAsia="仿宋_GB2312" w:cs="仿宋_GB2312"/>
          <w:color w:val="231F20"/>
          <w:kern w:val="0"/>
          <w:sz w:val="32"/>
          <w:szCs w:val="32"/>
          <w:lang w:val="en-US" w:eastAsia="zh-CN" w:bidi="ar"/>
        </w:rPr>
        <w:t xml:space="preserve">聚焦具有重大影响的资产评估项目，重点关注关键程序未执行到位、计算错误、滥用资产评估方法、工作底稿严重缺失、出具重大遗漏或虚假评估报告等严重违法违规问题，推动资产评估机构切实提升执业质量，维护市场经济秩序。 </w:t>
      </w:r>
    </w:p>
    <w:p w14:paraId="5A00366B">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600" w:lineRule="exact"/>
        <w:ind w:left="6" w:leftChars="0" w:firstLine="652" w:firstLineChars="204"/>
        <w:jc w:val="left"/>
        <w:textAlignment w:val="auto"/>
        <w:rPr>
          <w:sz w:val="32"/>
          <w:szCs w:val="32"/>
        </w:rPr>
      </w:pPr>
      <w:r>
        <w:rPr>
          <w:rFonts w:ascii="楷体_GB2312" w:hAnsi="楷体_GB2312" w:eastAsia="楷体_GB2312" w:cs="楷体_GB2312"/>
          <w:color w:val="231F20"/>
          <w:kern w:val="0"/>
          <w:sz w:val="32"/>
          <w:szCs w:val="32"/>
          <w:lang w:val="en-US" w:eastAsia="zh-CN" w:bidi="ar"/>
        </w:rPr>
        <w:t>（三）检查范围。</w:t>
      </w:r>
      <w:r>
        <w:rPr>
          <w:rFonts w:ascii="仿宋_GB2312" w:hAnsi="仿宋_GB2312" w:eastAsia="仿宋_GB2312" w:cs="仿宋_GB2312"/>
          <w:color w:val="231F20"/>
          <w:kern w:val="0"/>
          <w:sz w:val="32"/>
          <w:szCs w:val="32"/>
          <w:lang w:val="en-US" w:eastAsia="zh-CN" w:bidi="ar"/>
        </w:rPr>
        <w:t>随机抽取被检查资产评估机构202</w:t>
      </w:r>
      <w:r>
        <w:rPr>
          <w:rFonts w:hint="eastAsia" w:ascii="仿宋_GB2312" w:hAnsi="仿宋_GB2312" w:eastAsia="仿宋_GB2312" w:cs="仿宋_GB2312"/>
          <w:color w:val="231F20"/>
          <w:kern w:val="0"/>
          <w:sz w:val="32"/>
          <w:szCs w:val="32"/>
          <w:lang w:val="en-US" w:eastAsia="zh-CN" w:bidi="ar"/>
        </w:rPr>
        <w:t>3</w:t>
      </w:r>
      <w:r>
        <w:rPr>
          <w:rFonts w:ascii="仿宋_GB2312" w:hAnsi="仿宋_GB2312" w:eastAsia="仿宋_GB2312" w:cs="仿宋_GB2312"/>
          <w:color w:val="231F20"/>
          <w:kern w:val="0"/>
          <w:sz w:val="32"/>
          <w:szCs w:val="32"/>
          <w:lang w:val="en-US" w:eastAsia="zh-CN" w:bidi="ar"/>
        </w:rPr>
        <w:t>年1月至202</w:t>
      </w:r>
      <w:r>
        <w:rPr>
          <w:rFonts w:hint="eastAsia" w:ascii="仿宋_GB2312" w:hAnsi="仿宋_GB2312" w:eastAsia="仿宋_GB2312" w:cs="仿宋_GB2312"/>
          <w:color w:val="231F20"/>
          <w:kern w:val="0"/>
          <w:sz w:val="32"/>
          <w:szCs w:val="32"/>
          <w:lang w:val="en-US" w:eastAsia="zh-CN" w:bidi="ar"/>
        </w:rPr>
        <w:t>4</w:t>
      </w:r>
      <w:r>
        <w:rPr>
          <w:rFonts w:ascii="仿宋_GB2312" w:hAnsi="仿宋_GB2312" w:eastAsia="仿宋_GB2312" w:cs="仿宋_GB2312"/>
          <w:color w:val="231F20"/>
          <w:kern w:val="0"/>
          <w:sz w:val="32"/>
          <w:szCs w:val="32"/>
          <w:lang w:val="en-US" w:eastAsia="zh-CN" w:bidi="ar"/>
        </w:rPr>
        <w:t>年</w:t>
      </w:r>
      <w:r>
        <w:rPr>
          <w:rFonts w:hint="eastAsia" w:ascii="仿宋_GB2312" w:hAnsi="仿宋_GB2312" w:eastAsia="仿宋_GB2312" w:cs="仿宋_GB2312"/>
          <w:color w:val="231F20"/>
          <w:kern w:val="0"/>
          <w:sz w:val="32"/>
          <w:szCs w:val="32"/>
          <w:highlight w:val="none"/>
          <w:lang w:val="en-US" w:eastAsia="zh-CN" w:bidi="ar"/>
        </w:rPr>
        <w:t>6</w:t>
      </w:r>
      <w:r>
        <w:rPr>
          <w:rFonts w:ascii="仿宋_GB2312" w:hAnsi="仿宋_GB2312" w:eastAsia="仿宋_GB2312" w:cs="仿宋_GB2312"/>
          <w:color w:val="231F20"/>
          <w:kern w:val="0"/>
          <w:sz w:val="32"/>
          <w:szCs w:val="32"/>
          <w:lang w:val="en-US" w:eastAsia="zh-CN" w:bidi="ar"/>
        </w:rPr>
        <w:t>月期间出具的资产评估报告</w:t>
      </w:r>
      <w:r>
        <w:rPr>
          <w:rFonts w:hint="eastAsia" w:ascii="仿宋_GB2312" w:hAnsi="仿宋_GB2312" w:eastAsia="仿宋_GB2312" w:cs="仿宋_GB2312"/>
          <w:color w:val="231F20"/>
          <w:kern w:val="0"/>
          <w:sz w:val="32"/>
          <w:szCs w:val="32"/>
          <w:lang w:val="en-US" w:eastAsia="zh-CN" w:bidi="ar"/>
        </w:rPr>
        <w:t>，</w:t>
      </w:r>
      <w:r>
        <w:rPr>
          <w:rFonts w:ascii="仿宋_GB2312" w:hAnsi="Times New Roman" w:eastAsia="仿宋_GB2312" w:cs="Times New Roman"/>
          <w:sz w:val="32"/>
          <w:szCs w:val="32"/>
        </w:rPr>
        <w:t>必要时可以延伸。</w:t>
      </w:r>
      <w:r>
        <w:rPr>
          <w:rFonts w:ascii="仿宋_GB2312" w:hAnsi="仿宋_GB2312" w:eastAsia="仿宋_GB2312" w:cs="仿宋_GB2312"/>
          <w:color w:val="231F20"/>
          <w:kern w:val="0"/>
          <w:sz w:val="32"/>
          <w:szCs w:val="32"/>
          <w:lang w:val="en-US" w:eastAsia="zh-CN" w:bidi="ar"/>
        </w:rPr>
        <w:t xml:space="preserve"> </w:t>
      </w:r>
    </w:p>
    <w:p w14:paraId="7C070693">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hint="eastAsia" w:ascii="黑体" w:hAnsi="黑体" w:eastAsia="黑体" w:cs="黑体"/>
          <w:color w:val="231F20"/>
          <w:kern w:val="0"/>
          <w:sz w:val="32"/>
          <w:szCs w:val="32"/>
          <w:lang w:val="en-US" w:eastAsia="zh-CN" w:bidi="ar"/>
        </w:rPr>
        <w:t>五、时间安排</w:t>
      </w:r>
      <w:r>
        <w:rPr>
          <w:rFonts w:hint="default" w:ascii="FZHTJW--GB1-0" w:hAnsi="FZHTJW--GB1-0" w:eastAsia="FZHTJW--GB1-0" w:cs="FZHTJW--GB1-0"/>
          <w:color w:val="231F20"/>
          <w:kern w:val="0"/>
          <w:sz w:val="32"/>
          <w:szCs w:val="32"/>
          <w:lang w:val="en-US" w:eastAsia="zh-CN" w:bidi="ar"/>
        </w:rPr>
        <w:t xml:space="preserve"> </w:t>
      </w:r>
    </w:p>
    <w:p w14:paraId="2712B0CD">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（一）检查准备阶段（202</w:t>
      </w:r>
      <w:r>
        <w:rPr>
          <w:rFonts w:hint="eastAsia" w:ascii="楷体_GB2312" w:hAnsi="楷体_GB2312" w:eastAsia="楷体_GB2312" w:cs="楷体_GB2312"/>
          <w:color w:val="231F20"/>
          <w:kern w:val="0"/>
          <w:sz w:val="32"/>
          <w:szCs w:val="32"/>
          <w:lang w:val="en-US" w:eastAsia="zh-CN" w:bidi="ar"/>
        </w:rPr>
        <w:t>4</w:t>
      </w:r>
      <w:r>
        <w:rPr>
          <w:rFonts w:ascii="楷体_GB2312" w:hAnsi="楷体_GB2312" w:eastAsia="楷体_GB2312" w:cs="楷体_GB2312"/>
          <w:color w:val="231F20"/>
          <w:kern w:val="0"/>
          <w:sz w:val="32"/>
          <w:szCs w:val="32"/>
          <w:lang w:val="en-US" w:eastAsia="zh-CN" w:bidi="ar"/>
        </w:rPr>
        <w:t>年</w:t>
      </w:r>
      <w:r>
        <w:rPr>
          <w:rFonts w:hint="eastAsia" w:ascii="楷体_GB2312" w:hAnsi="楷体_GB2312" w:eastAsia="楷体_GB2312" w:cs="楷体_GB2312"/>
          <w:color w:val="231F20"/>
          <w:kern w:val="0"/>
          <w:sz w:val="32"/>
          <w:szCs w:val="32"/>
          <w:highlight w:val="none"/>
          <w:lang w:val="en-US" w:eastAsia="zh-CN" w:bidi="ar"/>
        </w:rPr>
        <w:t>6</w:t>
      </w:r>
      <w:r>
        <w:rPr>
          <w:rFonts w:ascii="楷体_GB2312" w:hAnsi="楷体_GB2312" w:eastAsia="楷体_GB2312" w:cs="楷体_GB2312"/>
          <w:color w:val="231F20"/>
          <w:kern w:val="0"/>
          <w:sz w:val="32"/>
          <w:szCs w:val="32"/>
          <w:lang w:val="en-US" w:eastAsia="zh-CN" w:bidi="ar"/>
        </w:rPr>
        <w:t>月）。</w:t>
      </w:r>
      <w:r>
        <w:rPr>
          <w:rFonts w:ascii="仿宋_GB2312" w:hAnsi="仿宋_GB2312" w:eastAsia="仿宋_GB2312" w:cs="仿宋_GB2312"/>
          <w:color w:val="231F20"/>
          <w:kern w:val="0"/>
          <w:sz w:val="32"/>
          <w:szCs w:val="32"/>
          <w:lang w:val="en-US" w:eastAsia="zh-CN" w:bidi="ar"/>
        </w:rPr>
        <w:t xml:space="preserve">制定检查方案，明确检查有关事项，确定检查对象，报中评协备案。 </w:t>
      </w:r>
    </w:p>
    <w:p w14:paraId="771D2181">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（二）检查实施阶段（202</w:t>
      </w:r>
      <w:r>
        <w:rPr>
          <w:rFonts w:hint="eastAsia" w:ascii="楷体_GB2312" w:hAnsi="楷体_GB2312" w:eastAsia="楷体_GB2312" w:cs="楷体_GB2312"/>
          <w:color w:val="231F20"/>
          <w:kern w:val="0"/>
          <w:sz w:val="32"/>
          <w:szCs w:val="32"/>
          <w:lang w:val="en-US" w:eastAsia="zh-CN" w:bidi="ar"/>
        </w:rPr>
        <w:t>4</w:t>
      </w:r>
      <w:r>
        <w:rPr>
          <w:rFonts w:ascii="楷体_GB2312" w:hAnsi="楷体_GB2312" w:eastAsia="楷体_GB2312" w:cs="楷体_GB2312"/>
          <w:color w:val="231F20"/>
          <w:kern w:val="0"/>
          <w:sz w:val="32"/>
          <w:szCs w:val="32"/>
          <w:lang w:val="en-US" w:eastAsia="zh-CN" w:bidi="ar"/>
        </w:rPr>
        <w:t>年</w:t>
      </w:r>
      <w:r>
        <w:rPr>
          <w:rFonts w:hint="eastAsia" w:ascii="楷体_GB2312" w:hAnsi="楷体_GB2312" w:eastAsia="楷体_GB2312" w:cs="楷体_GB2312"/>
          <w:color w:val="231F20"/>
          <w:kern w:val="0"/>
          <w:sz w:val="32"/>
          <w:szCs w:val="32"/>
          <w:highlight w:val="none"/>
          <w:lang w:val="en-US" w:eastAsia="zh-CN" w:bidi="ar"/>
        </w:rPr>
        <w:t>7</w:t>
      </w:r>
      <w:r>
        <w:rPr>
          <w:rFonts w:ascii="楷体_GB2312" w:hAnsi="楷体_GB2312" w:eastAsia="楷体_GB2312" w:cs="楷体_GB2312"/>
          <w:color w:val="231F20"/>
          <w:kern w:val="0"/>
          <w:sz w:val="32"/>
          <w:szCs w:val="32"/>
          <w:lang w:val="en-US" w:eastAsia="zh-CN" w:bidi="ar"/>
        </w:rPr>
        <w:t>月</w:t>
      </w:r>
      <w:r>
        <w:rPr>
          <w:rFonts w:hint="eastAsia" w:ascii="楷体_GB2312" w:hAnsi="楷体_GB2312" w:eastAsia="楷体_GB2312" w:cs="楷体_GB2312"/>
          <w:color w:val="231F20"/>
          <w:kern w:val="0"/>
          <w:sz w:val="32"/>
          <w:szCs w:val="32"/>
          <w:lang w:val="en-US" w:eastAsia="zh-CN" w:bidi="ar"/>
        </w:rPr>
        <w:t>-2024年9月</w:t>
      </w:r>
      <w:r>
        <w:rPr>
          <w:rFonts w:ascii="楷体_GB2312" w:hAnsi="楷体_GB2312" w:eastAsia="楷体_GB2312" w:cs="楷体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 xml:space="preserve">印发检查通知，编印检查手册，确定检查人员，举办检查工作布置会暨检查人员培训班，进入检查实施阶段，开展现场检查。 </w:t>
      </w:r>
    </w:p>
    <w:p w14:paraId="17F832EC">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（三）检查总结阶段（202</w:t>
      </w:r>
      <w:r>
        <w:rPr>
          <w:rFonts w:hint="eastAsia" w:ascii="楷体_GB2312" w:hAnsi="楷体_GB2312" w:eastAsia="楷体_GB2312" w:cs="楷体_GB2312"/>
          <w:color w:val="231F20"/>
          <w:kern w:val="0"/>
          <w:sz w:val="32"/>
          <w:szCs w:val="32"/>
          <w:lang w:val="en-US" w:eastAsia="zh-CN" w:bidi="ar"/>
        </w:rPr>
        <w:t>4</w:t>
      </w:r>
      <w:r>
        <w:rPr>
          <w:rFonts w:ascii="楷体_GB2312" w:hAnsi="楷体_GB2312" w:eastAsia="楷体_GB2312" w:cs="楷体_GB2312"/>
          <w:color w:val="231F20"/>
          <w:kern w:val="0"/>
          <w:sz w:val="32"/>
          <w:szCs w:val="32"/>
          <w:lang w:val="en-US" w:eastAsia="zh-CN" w:bidi="ar"/>
        </w:rPr>
        <w:t>年</w:t>
      </w:r>
      <w:r>
        <w:rPr>
          <w:rFonts w:hint="eastAsia" w:ascii="楷体_GB2312" w:hAnsi="楷体_GB2312" w:eastAsia="楷体_GB2312" w:cs="楷体_GB2312"/>
          <w:color w:val="231F20"/>
          <w:kern w:val="0"/>
          <w:sz w:val="32"/>
          <w:szCs w:val="32"/>
          <w:lang w:val="en-US" w:eastAsia="zh-CN" w:bidi="ar"/>
        </w:rPr>
        <w:t>10</w:t>
      </w:r>
      <w:r>
        <w:rPr>
          <w:rFonts w:ascii="楷体_GB2312" w:hAnsi="楷体_GB2312" w:eastAsia="楷体_GB2312" w:cs="楷体_GB2312"/>
          <w:color w:val="231F20"/>
          <w:kern w:val="0"/>
          <w:sz w:val="32"/>
          <w:szCs w:val="32"/>
          <w:lang w:val="en-US" w:eastAsia="zh-CN" w:bidi="ar"/>
        </w:rPr>
        <w:t>月）。</w:t>
      </w:r>
      <w:r>
        <w:rPr>
          <w:rFonts w:ascii="仿宋_GB2312" w:hAnsi="仿宋_GB2312" w:eastAsia="仿宋_GB2312" w:cs="仿宋_GB2312"/>
          <w:color w:val="231F20"/>
          <w:kern w:val="0"/>
          <w:sz w:val="32"/>
          <w:szCs w:val="32"/>
          <w:lang w:val="en-US" w:eastAsia="zh-CN" w:bidi="ar"/>
        </w:rPr>
        <w:t xml:space="preserve">现场检查结束后，将所发现的问题，获取必要的检查证据，形成检查工作底稿和书面检查报告，并上报检查领导组。 </w:t>
      </w:r>
    </w:p>
    <w:p w14:paraId="6952DBA8">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(四）检查处理阶段（202</w:t>
      </w:r>
      <w:r>
        <w:rPr>
          <w:rFonts w:hint="eastAsia" w:ascii="楷体_GB2312" w:hAnsi="楷体_GB2312" w:eastAsia="楷体_GB2312" w:cs="楷体_GB2312"/>
          <w:color w:val="231F20"/>
          <w:kern w:val="0"/>
          <w:sz w:val="32"/>
          <w:szCs w:val="32"/>
          <w:lang w:val="en-US" w:eastAsia="zh-CN" w:bidi="ar"/>
        </w:rPr>
        <w:t>4</w:t>
      </w:r>
      <w:r>
        <w:rPr>
          <w:rFonts w:ascii="楷体_GB2312" w:hAnsi="楷体_GB2312" w:eastAsia="楷体_GB2312" w:cs="楷体_GB2312"/>
          <w:color w:val="231F20"/>
          <w:kern w:val="0"/>
          <w:sz w:val="32"/>
          <w:szCs w:val="32"/>
          <w:lang w:val="en-US" w:eastAsia="zh-CN" w:bidi="ar"/>
        </w:rPr>
        <w:t>年</w:t>
      </w:r>
      <w:r>
        <w:rPr>
          <w:rFonts w:hint="eastAsia" w:ascii="楷体_GB2312" w:hAnsi="楷体_GB2312" w:eastAsia="楷体_GB2312" w:cs="楷体_GB2312"/>
          <w:color w:val="231F20"/>
          <w:kern w:val="0"/>
          <w:sz w:val="32"/>
          <w:szCs w:val="32"/>
          <w:lang w:val="en-US" w:eastAsia="zh-CN" w:bidi="ar"/>
        </w:rPr>
        <w:t>11</w:t>
      </w:r>
      <w:r>
        <w:rPr>
          <w:rFonts w:ascii="楷体_GB2312" w:hAnsi="楷体_GB2312" w:eastAsia="楷体_GB2312" w:cs="楷体_GB2312"/>
          <w:color w:val="231F20"/>
          <w:kern w:val="0"/>
          <w:sz w:val="32"/>
          <w:szCs w:val="32"/>
          <w:lang w:val="en-US" w:eastAsia="zh-CN" w:bidi="ar"/>
        </w:rPr>
        <w:t>月-</w:t>
      </w:r>
      <w:r>
        <w:rPr>
          <w:rFonts w:hint="eastAsia" w:ascii="楷体_GB2312" w:hAnsi="楷体_GB2312" w:eastAsia="楷体_GB2312" w:cs="楷体_GB2312"/>
          <w:color w:val="231F20"/>
          <w:kern w:val="0"/>
          <w:sz w:val="32"/>
          <w:szCs w:val="32"/>
          <w:lang w:val="en-US" w:eastAsia="zh-CN" w:bidi="ar"/>
        </w:rPr>
        <w:t>2024</w:t>
      </w:r>
      <w:r>
        <w:rPr>
          <w:rFonts w:ascii="楷体_GB2312" w:hAnsi="楷体_GB2312" w:eastAsia="楷体_GB2312" w:cs="楷体_GB2312"/>
          <w:color w:val="231F20"/>
          <w:kern w:val="0"/>
          <w:sz w:val="32"/>
          <w:szCs w:val="32"/>
          <w:lang w:val="en-US" w:eastAsia="zh-CN" w:bidi="ar"/>
        </w:rPr>
        <w:t>年</w:t>
      </w:r>
      <w:r>
        <w:rPr>
          <w:rFonts w:hint="eastAsia" w:ascii="楷体_GB2312" w:hAnsi="楷体_GB2312" w:eastAsia="楷体_GB2312" w:cs="楷体_GB2312"/>
          <w:color w:val="231F20"/>
          <w:kern w:val="0"/>
          <w:sz w:val="32"/>
          <w:szCs w:val="32"/>
          <w:lang w:val="en-US" w:eastAsia="zh-CN" w:bidi="ar"/>
        </w:rPr>
        <w:t>12</w:t>
      </w:r>
      <w:r>
        <w:rPr>
          <w:rFonts w:ascii="楷体_GB2312" w:hAnsi="楷体_GB2312" w:eastAsia="楷体_GB2312" w:cs="楷体_GB2312"/>
          <w:color w:val="231F20"/>
          <w:kern w:val="0"/>
          <w:sz w:val="32"/>
          <w:szCs w:val="32"/>
          <w:lang w:val="en-US" w:eastAsia="zh-CN" w:bidi="ar"/>
        </w:rPr>
        <w:t>月）</w:t>
      </w:r>
      <w:r>
        <w:rPr>
          <w:rFonts w:hint="eastAsia" w:ascii="楷体_GB2312" w:hAnsi="楷体_GB2312" w:eastAsia="楷体_GB2312" w:cs="楷体_GB2312"/>
          <w:color w:val="231F20"/>
          <w:kern w:val="0"/>
          <w:sz w:val="32"/>
          <w:szCs w:val="32"/>
          <w:lang w:val="en-US" w:eastAsia="zh-CN" w:bidi="ar"/>
        </w:rPr>
        <w:t>。</w:t>
      </w:r>
      <w:r>
        <w:rPr>
          <w:rFonts w:ascii="仿宋_GB2312" w:hAnsi="仿宋_GB2312" w:eastAsia="仿宋_GB2312" w:cs="仿宋_GB2312"/>
          <w:color w:val="231F20"/>
          <w:kern w:val="0"/>
          <w:sz w:val="32"/>
          <w:szCs w:val="32"/>
          <w:lang w:val="en-US" w:eastAsia="zh-CN" w:bidi="ar"/>
        </w:rPr>
        <w:t xml:space="preserve">检查结束后将对检查中发现的问题，进行意见交换和专家论证，对存在违法违规的资产评估机构，依据检查结论，严格按照相关法律法规和职权范围分别给予资产评估机构和资产评估师相应的行政处理处罚或行业自律惩戒。 </w:t>
      </w:r>
    </w:p>
    <w:p w14:paraId="3914A254">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hint="eastAsia" w:ascii="黑体" w:hAnsi="黑体" w:eastAsia="黑体" w:cs="黑体"/>
          <w:color w:val="231F20"/>
          <w:kern w:val="0"/>
          <w:sz w:val="32"/>
          <w:szCs w:val="32"/>
          <w:lang w:val="en-US" w:eastAsia="zh-CN" w:bidi="ar"/>
        </w:rPr>
        <w:t>六、检查要求</w:t>
      </w:r>
      <w:r>
        <w:rPr>
          <w:rFonts w:hint="default" w:ascii="FZHTJW--GB1-0" w:hAnsi="FZHTJW--GB1-0" w:eastAsia="FZHTJW--GB1-0" w:cs="FZHTJW--GB1-0"/>
          <w:color w:val="231F20"/>
          <w:kern w:val="0"/>
          <w:sz w:val="32"/>
          <w:szCs w:val="32"/>
          <w:lang w:val="en-US" w:eastAsia="zh-CN" w:bidi="ar"/>
        </w:rPr>
        <w:t xml:space="preserve"> </w:t>
      </w:r>
    </w:p>
    <w:p w14:paraId="42129300">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sz w:val="32"/>
          <w:szCs w:val="32"/>
        </w:rPr>
      </w:pPr>
      <w:r>
        <w:rPr>
          <w:rFonts w:ascii="楷体_GB2312" w:hAnsi="楷体_GB2312" w:eastAsia="楷体_GB2312" w:cs="楷体_GB2312"/>
          <w:color w:val="231F20"/>
          <w:kern w:val="0"/>
          <w:sz w:val="32"/>
          <w:szCs w:val="32"/>
          <w:lang w:val="en-US" w:eastAsia="zh-CN" w:bidi="ar"/>
        </w:rPr>
        <w:t>（一）加强组织管理。</w:t>
      </w:r>
      <w:r>
        <w:rPr>
          <w:rFonts w:ascii="仿宋_GB2312" w:hAnsi="仿宋_GB2312" w:eastAsia="仿宋_GB2312" w:cs="仿宋_GB2312"/>
          <w:color w:val="231F20"/>
          <w:kern w:val="0"/>
          <w:sz w:val="32"/>
          <w:szCs w:val="32"/>
          <w:lang w:val="en-US" w:eastAsia="zh-CN" w:bidi="ar"/>
        </w:rPr>
        <w:t xml:space="preserve">检查组全体检查人员要遵循统一思想认识、统一规范程序、统一标准制度的原则，加强协作、形成合力，统筹推进工作；检查工作要坚持问题导向，完善工作机制，讲求工作方法，做到依法依规、客观公正、过程留痕，严格控制风险，确保检查工作取得实效。 </w:t>
      </w:r>
    </w:p>
    <w:p w14:paraId="157A4EDE">
      <w:pPr>
        <w:keepNext w:val="0"/>
        <w:keepLines w:val="0"/>
        <w:pageBreakBefore w:val="0"/>
        <w:widowControl w:val="0"/>
        <w:suppressLineNumbers w:val="0"/>
        <w:kinsoku/>
        <w:wordWrap/>
        <w:overflowPunct/>
        <w:topLinePunct w:val="0"/>
        <w:autoSpaceDE/>
        <w:autoSpaceDN/>
        <w:bidi w:val="0"/>
        <w:adjustRightInd/>
        <w:snapToGrid/>
        <w:spacing w:line="600" w:lineRule="exact"/>
        <w:ind w:left="0" w:leftChars="0" w:firstLine="649" w:firstLineChars="203"/>
        <w:jc w:val="left"/>
        <w:textAlignment w:val="auto"/>
        <w:rPr>
          <w:rFonts w:ascii="仿宋_GB2312" w:hAnsi="仿宋_GB2312" w:eastAsia="仿宋_GB2312" w:cs="仿宋_GB2312"/>
          <w:color w:val="231F20"/>
          <w:kern w:val="0"/>
          <w:sz w:val="32"/>
          <w:szCs w:val="32"/>
          <w:lang w:val="en-US" w:eastAsia="zh-CN" w:bidi="ar"/>
        </w:rPr>
      </w:pPr>
      <w:r>
        <w:rPr>
          <w:rFonts w:ascii="楷体_GB2312" w:hAnsi="楷体_GB2312" w:eastAsia="楷体_GB2312" w:cs="楷体_GB2312"/>
          <w:color w:val="231F20"/>
          <w:kern w:val="0"/>
          <w:sz w:val="32"/>
          <w:szCs w:val="32"/>
          <w:lang w:val="en-US" w:eastAsia="zh-CN" w:bidi="ar"/>
        </w:rPr>
        <w:t>（二）严肃工作纪律。</w:t>
      </w:r>
      <w:r>
        <w:rPr>
          <w:rFonts w:ascii="仿宋_GB2312" w:hAnsi="仿宋_GB2312" w:eastAsia="仿宋_GB2312" w:cs="仿宋_GB2312"/>
          <w:color w:val="231F20"/>
          <w:kern w:val="0"/>
          <w:sz w:val="32"/>
          <w:szCs w:val="32"/>
          <w:lang w:val="en-US" w:eastAsia="zh-CN" w:bidi="ar"/>
        </w:rPr>
        <w:t>全体检查人员要履职尽责，严格遵守《会计和评估监督检查工作纪律》有关要求，严肃检查纪律，做到客观、公正、廉洁、自律，自觉维护检查队伍的良好形象，实现检查工作的独立性，保障检查工作高质高效完成。</w:t>
      </w:r>
    </w:p>
    <w:p w14:paraId="71CEE1D4">
      <w:pPr>
        <w:rPr>
          <w:rFonts w:hint="eastAsia" w:ascii="黑体" w:hAnsi="黑体" w:eastAsia="黑体" w:cs="黑体"/>
          <w:snapToGrid w:val="0"/>
          <w:color w:val="000000"/>
          <w:kern w:val="0"/>
          <w:sz w:val="32"/>
          <w:szCs w:val="32"/>
          <w:lang w:val="en-US" w:eastAsia="zh-CN"/>
        </w:rPr>
      </w:pPr>
    </w:p>
    <w:p w14:paraId="2A0D2725">
      <w:pPr>
        <w:rPr>
          <w:rFonts w:hint="eastAsia" w:ascii="黑体" w:hAnsi="黑体" w:eastAsia="黑体" w:cs="黑体"/>
          <w:snapToGrid w:val="0"/>
          <w:color w:val="000000"/>
          <w:kern w:val="0"/>
          <w:sz w:val="32"/>
          <w:szCs w:val="32"/>
          <w:lang w:val="en-US" w:eastAsia="zh-CN"/>
        </w:rPr>
      </w:pPr>
    </w:p>
    <w:p w14:paraId="75ED26FE">
      <w:pPr>
        <w:rPr>
          <w:rFonts w:hint="eastAsia" w:ascii="黑体" w:hAnsi="黑体" w:eastAsia="黑体" w:cs="黑体"/>
          <w:snapToGrid w:val="0"/>
          <w:color w:val="000000"/>
          <w:kern w:val="0"/>
          <w:sz w:val="32"/>
          <w:szCs w:val="32"/>
          <w:lang w:val="en-US" w:eastAsia="zh-CN"/>
        </w:rPr>
      </w:pPr>
    </w:p>
    <w:p w14:paraId="258A92CD">
      <w:pPr>
        <w:rPr>
          <w:rFonts w:hint="eastAsia" w:ascii="黑体" w:hAnsi="黑体" w:eastAsia="黑体" w:cs="黑体"/>
          <w:snapToGrid w:val="0"/>
          <w:color w:val="000000"/>
          <w:kern w:val="0"/>
          <w:sz w:val="32"/>
          <w:szCs w:val="32"/>
          <w:lang w:val="en-US" w:eastAsia="zh-CN"/>
        </w:rPr>
      </w:pPr>
    </w:p>
    <w:p w14:paraId="4C201E9D">
      <w:pPr>
        <w:rPr>
          <w:rFonts w:hint="eastAsia" w:ascii="黑体" w:hAnsi="黑体" w:eastAsia="黑体" w:cs="黑体"/>
          <w:snapToGrid w:val="0"/>
          <w:color w:val="000000"/>
          <w:kern w:val="0"/>
          <w:sz w:val="32"/>
          <w:szCs w:val="32"/>
          <w:lang w:val="en-US" w:eastAsia="zh-CN"/>
        </w:rPr>
      </w:pPr>
    </w:p>
    <w:p w14:paraId="71454ECC">
      <w:pPr>
        <w:rPr>
          <w:rFonts w:hint="eastAsia" w:ascii="黑体" w:hAnsi="黑体" w:eastAsia="黑体" w:cs="黑体"/>
          <w:snapToGrid w:val="0"/>
          <w:color w:val="000000"/>
          <w:kern w:val="0"/>
          <w:sz w:val="32"/>
          <w:szCs w:val="32"/>
          <w:lang w:val="en-US" w:eastAsia="zh-CN"/>
        </w:rPr>
      </w:pPr>
    </w:p>
    <w:p w14:paraId="41ADE85D">
      <w:pPr>
        <w:rPr>
          <w:rFonts w:hint="eastAsia" w:ascii="黑体" w:hAnsi="黑体" w:eastAsia="黑体" w:cs="黑体"/>
          <w:snapToGrid w:val="0"/>
          <w:color w:val="000000"/>
          <w:kern w:val="0"/>
          <w:sz w:val="32"/>
          <w:szCs w:val="32"/>
          <w:lang w:val="en-US" w:eastAsia="zh-CN"/>
        </w:rPr>
      </w:pPr>
    </w:p>
    <w:p w14:paraId="41116E49">
      <w:pPr>
        <w:rPr>
          <w:rFonts w:hint="eastAsia" w:ascii="黑体" w:hAnsi="黑体" w:eastAsia="黑体" w:cs="黑体"/>
          <w:snapToGrid w:val="0"/>
          <w:color w:val="000000"/>
          <w:kern w:val="0"/>
          <w:sz w:val="32"/>
          <w:szCs w:val="32"/>
          <w:lang w:val="en-US" w:eastAsia="zh-CN"/>
        </w:rPr>
      </w:pPr>
    </w:p>
    <w:p w14:paraId="5FB239CE">
      <w:pPr>
        <w:rPr>
          <w:rFonts w:hint="eastAsia" w:ascii="黑体" w:hAnsi="黑体" w:eastAsia="黑体" w:cs="黑体"/>
          <w:snapToGrid w:val="0"/>
          <w:color w:val="000000"/>
          <w:kern w:val="0"/>
          <w:sz w:val="32"/>
          <w:szCs w:val="32"/>
          <w:lang w:val="en-US" w:eastAsia="zh-CN"/>
        </w:rPr>
      </w:pPr>
    </w:p>
    <w:p w14:paraId="596716D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FZHTJW--GB1-0">
    <w:altName w:val="Segoe Print"/>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yYWFkYjNhZGE2NWQzNTVkNjg2Y2UzNjcxMDc3ZmUifQ=="/>
  </w:docVars>
  <w:rsids>
    <w:rsidRoot w:val="24974F46"/>
    <w:rsid w:val="24974F46"/>
    <w:rsid w:val="61024D54"/>
    <w:rsid w:val="7C8F1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2044</Words>
  <Characters>2101</Characters>
  <Lines>0</Lines>
  <Paragraphs>0</Paragraphs>
  <TotalTime>1</TotalTime>
  <ScaleCrop>false</ScaleCrop>
  <LinksUpToDate>false</LinksUpToDate>
  <CharactersWithSpaces>2128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2024-07-04T08:13:00Z</dcterms:created>
  <dc:creator>杨建丽</dc:creator>
  <cp:lastModifiedBy>王琛</cp:lastModifiedBy>
  <dcterms:modified xsi:type="dcterms:W3CDTF">2024-09-02T02:28:05Z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3750F964CA4A442F83E9F8F906A66062_11</vt:lpwstr>
  </property>
</Properties>
</file>