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黑体" w:hAnsi="黑体" w:eastAsia="黑体" w:cs="黑体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231F20"/>
          <w:kern w:val="0"/>
          <w:sz w:val="44"/>
          <w:szCs w:val="44"/>
          <w:lang w:val="en-US" w:eastAsia="zh-CN" w:bidi="ar"/>
        </w:rPr>
        <w:t>2024年度被检查资产评估机构名单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</w:pPr>
    </w:p>
    <w:tbl>
      <w:tblPr>
        <w:tblStyle w:val="2"/>
        <w:tblW w:w="84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5626"/>
        <w:gridCol w:w="17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资产评估机构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山西世信资产评估有限公司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山西恒晖资产评估事务所(普通合伙)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山西恒信融丰资产评估有限公司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山西诚成资产评估有限公司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山西中盛资产评估有限公司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山西晋审资产评估有限公司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山西柏利源资产评估事务所(普通合伙)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山西中财资产评估有限公司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9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山西中天诚资产评估事务所(普通合伙) 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山西康嘉资产评估有限公司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山西昊运资产评估有限公司                 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山西益欣资产评估有限公司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山西文国华苑资产评估有限公司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山西秉信资产评估事务所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15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山西博达资产评估有限公司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16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山西国量资产评估有限公司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山西德源资产评估有限公司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18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山西正达信资产评估有限公司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19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山西誉德隆资产评估有限公司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20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山西中瑞资产评估咨询事务所（特殊普通合伙）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21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山西力仁资产评估事务所（普通合伙）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22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山西中保高新资产评估有限公司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23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山西中同信资产评估有限公司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24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山西中宸国远房地产资产评估有限责任公司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25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中瑞振华房地产估价（山西）有限公司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26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山西弘信房地产土地资产评估有限公司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27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山西同业房地产咨询估价有限责任公司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28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山西涌鑫房地产资产评估测绘有限公司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29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中咨同创（山西）资产评估有限公司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30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山西九道资产评估事务所（普通合伙）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31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山西光明资产评估有限公司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32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山西众诚资产评估有限公司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33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吕梁中信达资产评估事务所（普通合伙）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34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阳泉衡信资产评估事务所（普通合伙）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35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山西睿信和资产评估有限公司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36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山西永丰资产评估事务所（普通合伙）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37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山西天丰资产评估事务所（普通合伙）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38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阳泉瑞博资产评估事务所 （普通合伙）       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39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山西神利元资产评估有限公司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40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山西创晖资产评估事务所（普通合伙）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41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阳城县华清资产评估事务所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42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山西奥杰资产评估有限公司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43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山西万佳立信资产评估有限公司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44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大同市精正资产评估有限责任公司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45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大同市中兴资产评估事务所（普通合伙）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46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忻州华瑞资产评估有限公司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47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忻州聚龙资产评估事务所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48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山西千煦资产评估有限公司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49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山西坤祥元资产评估有限公司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50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山西常安资产评估有限公司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51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灵石金达资产评估有限公司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52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山西广厦房地产资产评估有限公司            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53</w:t>
            </w:r>
          </w:p>
        </w:tc>
        <w:tc>
          <w:tcPr>
            <w:tcW w:w="56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运城今朝资产评估事务所（普通合伙）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20" w:lineRule="exact"/>
        <w:ind w:firstLine="640" w:firstLineChars="200"/>
        <w:rPr>
          <w:rFonts w:hint="eastAsi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</w:t>
      </w:r>
    </w:p>
    <w:p>
      <w:pPr>
        <w:adjustRightInd w:val="0"/>
        <w:snapToGrid w:val="0"/>
        <w:spacing w:line="20" w:lineRule="exact"/>
        <w:ind w:firstLine="420" w:firstLineChars="200"/>
        <w:rPr>
          <w:rFonts w:hint="eastAsia"/>
        </w:rPr>
      </w:pPr>
    </w:p>
    <w:p>
      <w:pPr>
        <w:adjustRightInd w:val="0"/>
        <w:snapToGrid w:val="0"/>
        <w:spacing w:line="20" w:lineRule="exact"/>
        <w:ind w:firstLine="420" w:firstLineChars="200"/>
        <w:rPr>
          <w:rFonts w:hint="eastAsia"/>
        </w:rPr>
      </w:pPr>
    </w:p>
    <w:p>
      <w:pPr>
        <w:adjustRightInd w:val="0"/>
        <w:snapToGrid w:val="0"/>
        <w:spacing w:line="20" w:lineRule="exact"/>
        <w:ind w:firstLine="420" w:firstLineChars="200"/>
        <w:rPr>
          <w:rFonts w:hint="eastAsia"/>
        </w:rPr>
      </w:pPr>
    </w:p>
    <w:p>
      <w:pPr>
        <w:adjustRightInd w:val="0"/>
        <w:snapToGrid w:val="0"/>
        <w:spacing w:line="20" w:lineRule="exact"/>
        <w:ind w:firstLine="420" w:firstLineChars="200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WFkYjNhZGE2NWQzNTVkNjg2Y2UzNjcxMDc3ZmUifQ=="/>
  </w:docVars>
  <w:rsids>
    <w:rsidRoot w:val="77EC0917"/>
    <w:rsid w:val="77EC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2024-07-04T08:14:00Z</dcterms:created>
  <dc:creator>杨建丽</dc:creator>
  <cp:lastModifiedBy>杨建丽</cp:lastModifiedBy>
  <dcterms:modified xsi:type="dcterms:W3CDTF">2024-07-04T08:15:03Z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484F602FF97E485CA895633ACFCD7CDD_11</vt:lpwstr>
  </property>
</Properties>
</file>