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default" w:ascii="宋体" w:hAnsi="宋体" w:eastAsia="宋体" w:cs="方正小标宋简体"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  <w:t>附件3：</w:t>
      </w:r>
    </w:p>
    <w:p>
      <w:pPr>
        <w:spacing w:line="500" w:lineRule="exact"/>
        <w:jc w:val="center"/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方正小标宋简体"/>
          <w:bCs/>
          <w:kern w:val="0"/>
          <w:sz w:val="44"/>
          <w:szCs w:val="44"/>
        </w:rPr>
        <w:t>中国资产评估协会202</w:t>
      </w:r>
      <w:r>
        <w:rPr>
          <w:rFonts w:hint="eastAsia" w:ascii="宋体" w:hAnsi="宋体" w:cs="方正小标宋简体"/>
          <w:bCs/>
          <w:kern w:val="0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方正小标宋简体"/>
          <w:bCs/>
          <w:kern w:val="0"/>
          <w:sz w:val="44"/>
          <w:szCs w:val="44"/>
        </w:rPr>
        <w:t>年培训计划表</w:t>
      </w:r>
      <w:bookmarkStart w:id="0" w:name="_GoBack"/>
      <w:bookmarkEnd w:id="0"/>
    </w:p>
    <w:tbl>
      <w:tblPr>
        <w:tblStyle w:val="5"/>
        <w:tblpPr w:leftFromText="180" w:rightFromText="180" w:vertAnchor="text" w:horzAnchor="margin" w:tblpXSpec="center" w:tblpY="219"/>
        <w:tblW w:w="14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450"/>
        <w:gridCol w:w="4766"/>
        <w:gridCol w:w="1418"/>
        <w:gridCol w:w="1461"/>
        <w:gridCol w:w="807"/>
        <w:gridCol w:w="1275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培训内容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培训对象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地点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天数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培训方式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预计培训时间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资产评估准则培训班（基本准则和程序性执业准则）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1.资产评估法律法规及准则体系讲解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2.《资产评估基本准则》解读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3.《资产评估执业准则——资产评估程序》解读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4.《资产评估执业准则——资产评估报告》解读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5.《资产评估执业准则——资产评估档案》解读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6.《资产评估执业准则——资产评估方法》解读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上海国家会计学院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4月16-18日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资产评估准则培训班（实体性执业准则）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1.《资产评估执业准则——企业价值》解读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2.《资产评估执业准则——无形资产》解读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3.《资产评估执业准则——不动产》解读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4.《资产评估执业准则——机器设备》解读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5.《资产评估执业准则——森林资源资产》解读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6.《资产评估执业准则——知识产权》解读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北京国家会计学院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5月14-16日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培训内容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培训对象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地点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天数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培训方式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预计培训时间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以财务报告为目的评估研讨班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1.公允价值计量相关会计准则介绍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2.资产减值测试评估实务及案例讲解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3.合并对价分摊评估实务及案例讲解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4.投资性房地产公允价值评估及案例讲解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金融工具的会计处理与资产评估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6.</w:t>
            </w:r>
            <w:r>
              <w:rPr>
                <w:rFonts w:hint="eastAsia" w:ascii="宋体" w:hAnsi="宋体" w:eastAsia="宋体"/>
                <w:sz w:val="20"/>
                <w:szCs w:val="20"/>
              </w:rPr>
              <w:t>商誉减值测试评估方法及案例分析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厦门国家会计学院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5月22-24日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企业价值评估研讨班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1.运用资产基础法评估企业价值的重点难点问题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2.运用收益法评估企业价值的重点难点问题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3.运用市场法评估企业价值的重点难点问题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4.企业价值评估增减值所得税问题分析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5.上市公司并购重组企业价值评估实务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6.环境，社会责任和公司治理（ESG）对企业价值评估影响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厦门国家会计学院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6月12-14日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企业破产重整与涉执财产评估研讨班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1.企业破产法及相关政策制度解读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2.破产重整的模式与资产处置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3.破产重整评估的价值衡量与破产范围确定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4.破产重整资产评估典型案例分析与讨论</w:t>
            </w:r>
          </w:p>
          <w:p>
            <w:pPr>
              <w:spacing w:line="260" w:lineRule="exac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5.人民法院委托评估业务有关问题讲解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北京国家会计学院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ind w:firstLine="200" w:firstLineChars="100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7月2-4日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培训内容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培训对象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地点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天数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培训方式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预计培训时间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6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数据资产评估研讨班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1.《企业数据资源相关会计处理暂行规定》解读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2.《数据资产评估指导意见》解读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3.《关于加强数据资产管理的指导意见》解读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4.数据价值发现与企业数据资产化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5.数据资产入表及评估实践重难点问题分析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厦门国家会计学院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7月10-12日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7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资产评估准则培训班（评估指南及指导意见）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1.《企业国有资产评估报告指南》解读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2.《资产评估机构业务质量控制指南》解读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3.《资产评估价值类型指导意见》解读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4.《专利资产评估指导意见》《著作权资产评估指导意见》《商标资产评估指导意见》解读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5.《企业并购投资价值评估指导意见》解读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6.《体育无形资产评估指导意见》解读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北京国家会计学院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8月7-9日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8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西部地区（新疆）业务骨干培训班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1.国有资产评估报告审核实务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2.评估相关法律法规解读与评估风险控制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3.财政支出绩效评价政策与实务</w:t>
            </w:r>
          </w:p>
          <w:p>
            <w:pPr>
              <w:spacing w:line="260" w:lineRule="exac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资产评估行业自律监管形势与任务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新疆维吾尔自治区资产评估师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乌鲁木齐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8月15-16日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9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中部地区（湖北）业务骨干培训班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1.国有资产评估报告审核实务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2.评估相关法律法规解读与评估风险控制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3.财政支出绩效评价政策与实务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资产评估行业自律监管形势与任务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湖北省资产评估师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武汉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8月21-22日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培训（研讨）班名称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培训内容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培训对象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地点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天数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培训方式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预计培训时间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7" w:hRule="atLeast"/>
        </w:trPr>
        <w:tc>
          <w:tcPr>
            <w:tcW w:w="85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10</w:t>
            </w:r>
          </w:p>
        </w:tc>
        <w:tc>
          <w:tcPr>
            <w:tcW w:w="2450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资产评估准则培训班（专家指引）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1.《资产评估专家指引第15号——知识产权侵权损害评估》解读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2.《资产评估专家指引第16号——计算机软件著作权资产评估》解读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3.《资产评估专家指引第11号——商誉减值测试评估》解读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4.《资产评估专家指引第12号——收益法评估企业价值中折现率的测算》解读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5.《资产评估专家指引第 8 号——资产评估中的核查验证》解读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6.《资产评估专家指引第13号——境外并购资产评估》解读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执业会员</w:t>
            </w:r>
          </w:p>
        </w:tc>
        <w:tc>
          <w:tcPr>
            <w:tcW w:w="14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上海国家会计学院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3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网络直播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9月3-5日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11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金融工具与资产评估研讨班</w:t>
            </w:r>
          </w:p>
        </w:tc>
        <w:tc>
          <w:tcPr>
            <w:tcW w:w="476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1.金融衍生工具的定价与案例分析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2.金融衍生工具的减值测试与估算分析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3.优先股及相关衍生工具的评估方法和案例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4.金融机构资产管理产品的估值挑战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5.金融衍生工具估值方法解析</w:t>
            </w:r>
          </w:p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6.或有对价的价值评估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上海国家会计学院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10月9-11日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12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资产评估师（珠宝）继续教育培训班</w:t>
            </w:r>
          </w:p>
        </w:tc>
        <w:tc>
          <w:tcPr>
            <w:tcW w:w="4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1.翡翠新品种鉴定及翡翠市场发展趋势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2.珠宝玉石分级标准在评估实务的应用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3.评估工作底稿编制实务及案例讲解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4.评估机构法律责任与风险防范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5.黄金饰品加工工艺与评价</w:t>
            </w:r>
          </w:p>
          <w:p>
            <w:pPr>
              <w:adjustRightInd w:val="0"/>
              <w:snapToGrid w:val="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6.珠宝评估案例分析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left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资产评估师（珠宝）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广东省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11月19-21日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06D96F3B"/>
    <w:rsid w:val="06D9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3"/>
    <w:next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 w:val="0"/>
      <w:kern w:val="0"/>
      <w:sz w:val="36"/>
      <w:szCs w:val="36"/>
    </w:rPr>
  </w:style>
  <w:style w:type="paragraph" w:customStyle="1" w:styleId="3">
    <w:name w:val="Heading1"/>
    <w:basedOn w:val="4"/>
    <w:next w:val="2"/>
    <w:qFormat/>
    <w:uiPriority w:val="0"/>
    <w:pPr>
      <w:keepNext/>
      <w:keepLines/>
      <w:spacing w:before="340" w:after="330" w:line="578" w:lineRule="auto"/>
    </w:pPr>
    <w:rPr>
      <w:rFonts w:ascii="Calibri" w:hAnsi="Calibri" w:cs="Times New Roman"/>
      <w:b w:val="0"/>
      <w:bCs/>
      <w:kern w:val="44"/>
      <w:sz w:val="44"/>
      <w:szCs w:val="44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2024-04-16T02:53:00Z</dcterms:created>
  <dc:creator>杨建丽</dc:creator>
  <cp:lastModifiedBy>杨建丽</cp:lastModifiedBy>
  <dcterms:modified xsi:type="dcterms:W3CDTF">2024-04-16T02:54:54Z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73B3DC641F8844BBAD61EC6120932C0A_11</vt:lpwstr>
  </property>
</Properties>
</file>